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1EC" w:rsidRDefault="0079304D">
      <w:pPr>
        <w:spacing w:after="0"/>
        <w:rPr>
          <w:sz w:val="22"/>
        </w:rPr>
      </w:pPr>
      <w:r>
        <w:rPr>
          <w:noProof/>
          <w:sz w:val="22"/>
          <w:lang w:eastAsia="sl-SI"/>
        </w:rPr>
        <w:drawing>
          <wp:anchor distT="0" distB="0" distL="0" distR="0" simplePos="0" relativeHeight="2" behindDoc="1" locked="0" layoutInCell="0" allowOverlap="1">
            <wp:simplePos x="0" y="0"/>
            <wp:positionH relativeFrom="page">
              <wp:posOffset>715010</wp:posOffset>
            </wp:positionH>
            <wp:positionV relativeFrom="paragraph">
              <wp:posOffset>-875665</wp:posOffset>
            </wp:positionV>
            <wp:extent cx="6800215" cy="3581400"/>
            <wp:effectExtent l="0" t="0" r="0" b="0"/>
            <wp:wrapNone/>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pic:cNvPicPr>
                      <a:picLocks noChangeAspect="1" noChangeArrowheads="1"/>
                    </pic:cNvPicPr>
                  </pic:nvPicPr>
                  <pic:blipFill>
                    <a:blip r:embed="rId7"/>
                    <a:stretch>
                      <a:fillRect/>
                    </a:stretch>
                  </pic:blipFill>
                  <pic:spPr bwMode="auto">
                    <a:xfrm>
                      <a:off x="0" y="0"/>
                      <a:ext cx="6800215" cy="3581400"/>
                    </a:xfrm>
                    <a:prstGeom prst="rect">
                      <a:avLst/>
                    </a:prstGeom>
                  </pic:spPr>
                </pic:pic>
              </a:graphicData>
            </a:graphic>
          </wp:anchor>
        </w:drawing>
      </w:r>
    </w:p>
    <w:p w:rsidR="000B11EC" w:rsidRDefault="000B11EC">
      <w:pPr>
        <w:contextualSpacing/>
        <w:rPr>
          <w:sz w:val="22"/>
        </w:rPr>
      </w:pPr>
    </w:p>
    <w:p w:rsidR="000B11EC" w:rsidRPr="00806AE9" w:rsidRDefault="0079304D" w:rsidP="00806AE9">
      <w:pPr>
        <w:spacing w:line="276" w:lineRule="auto"/>
        <w:contextualSpacing/>
        <w:jc w:val="center"/>
        <w:rPr>
          <w:b/>
          <w:szCs w:val="20"/>
        </w:rPr>
      </w:pPr>
      <w:r w:rsidRPr="00806AE9">
        <w:rPr>
          <w:b/>
          <w:szCs w:val="20"/>
        </w:rPr>
        <w:t>NAVODILO PACIENTOM PRI ODVZEMU KRVI</w:t>
      </w:r>
    </w:p>
    <w:p w:rsidR="000B11EC" w:rsidRPr="00806AE9" w:rsidRDefault="000B11EC" w:rsidP="00806AE9">
      <w:pPr>
        <w:spacing w:line="276" w:lineRule="auto"/>
        <w:contextualSpacing/>
        <w:jc w:val="center"/>
        <w:rPr>
          <w:b/>
          <w:szCs w:val="20"/>
        </w:rPr>
      </w:pPr>
    </w:p>
    <w:p w:rsidR="000B11EC" w:rsidRPr="00806AE9" w:rsidRDefault="000B11EC" w:rsidP="00806AE9">
      <w:pPr>
        <w:spacing w:line="276" w:lineRule="auto"/>
        <w:contextualSpacing/>
        <w:rPr>
          <w:szCs w:val="20"/>
        </w:rPr>
      </w:pPr>
    </w:p>
    <w:p w:rsidR="000B11EC" w:rsidRPr="00806AE9" w:rsidRDefault="0079304D" w:rsidP="00806AE9">
      <w:pPr>
        <w:spacing w:line="276" w:lineRule="auto"/>
        <w:contextualSpacing/>
        <w:rPr>
          <w:szCs w:val="20"/>
        </w:rPr>
      </w:pPr>
      <w:r w:rsidRPr="00806AE9">
        <w:rPr>
          <w:szCs w:val="20"/>
        </w:rPr>
        <w:t>Priporočeno je, da se na odvzem krvi oglasite med 7.00 in 9.00, razen če drugače naroči zdravnik (nujno, popoldanske ambulante). Orientacijske referenčne vrednosti, ki se podajajo na izvidu poleg vaših rezultatov, veljajo za ta čas odvzema (tekom dneva se količina številnih sestavin v krvi spreminja).</w:t>
      </w:r>
    </w:p>
    <w:p w:rsidR="000B11EC" w:rsidRPr="00806AE9" w:rsidRDefault="0079304D" w:rsidP="00806AE9">
      <w:pPr>
        <w:pStyle w:val="Standard"/>
        <w:spacing w:before="120" w:line="276" w:lineRule="auto"/>
        <w:contextualSpacing/>
        <w:jc w:val="both"/>
        <w:rPr>
          <w:rFonts w:ascii="Verdana" w:hAnsi="Verdana"/>
          <w:sz w:val="20"/>
          <w:szCs w:val="20"/>
        </w:rPr>
      </w:pPr>
      <w:r w:rsidRPr="00806AE9">
        <w:rPr>
          <w:rFonts w:ascii="Verdana" w:hAnsi="Verdana"/>
          <w:sz w:val="20"/>
          <w:szCs w:val="20"/>
        </w:rPr>
        <w:t xml:space="preserve">Priporočeno je, da ste </w:t>
      </w:r>
      <w:r w:rsidRPr="00806AE9">
        <w:rPr>
          <w:rFonts w:ascii="Verdana" w:hAnsi="Verdana"/>
          <w:b/>
          <w:sz w:val="20"/>
          <w:szCs w:val="20"/>
        </w:rPr>
        <w:t>za biokemične preiskave tešči</w:t>
      </w:r>
      <w:r w:rsidR="00806AE9" w:rsidRPr="00806AE9">
        <w:rPr>
          <w:rFonts w:ascii="Verdana" w:hAnsi="Verdana"/>
          <w:b/>
          <w:sz w:val="20"/>
          <w:szCs w:val="20"/>
        </w:rPr>
        <w:t>,</w:t>
      </w:r>
      <w:r w:rsidR="00806AE9">
        <w:rPr>
          <w:rFonts w:ascii="Verdana" w:hAnsi="Verdana"/>
          <w:sz w:val="20"/>
          <w:szCs w:val="20"/>
        </w:rPr>
        <w:t xml:space="preserve"> </w:t>
      </w:r>
      <w:r w:rsidRPr="00806AE9">
        <w:rPr>
          <w:rFonts w:ascii="Verdana" w:hAnsi="Verdana"/>
          <w:b/>
          <w:sz w:val="20"/>
          <w:szCs w:val="20"/>
        </w:rPr>
        <w:t>razen</w:t>
      </w:r>
      <w:r w:rsidR="00806AE9">
        <w:rPr>
          <w:rFonts w:ascii="Verdana" w:hAnsi="Verdana"/>
          <w:b/>
          <w:sz w:val="20"/>
          <w:szCs w:val="20"/>
        </w:rPr>
        <w:t xml:space="preserve">, </w:t>
      </w:r>
      <w:r w:rsidRPr="00806AE9">
        <w:rPr>
          <w:rFonts w:ascii="Verdana" w:hAnsi="Verdana"/>
          <w:b/>
          <w:sz w:val="20"/>
          <w:szCs w:val="20"/>
        </w:rPr>
        <w:t xml:space="preserve"> če drugače naroči zdravnik</w:t>
      </w:r>
      <w:r w:rsidRPr="00806AE9">
        <w:rPr>
          <w:rFonts w:ascii="Verdana" w:hAnsi="Verdana"/>
          <w:sz w:val="20"/>
          <w:szCs w:val="20"/>
        </w:rPr>
        <w:t xml:space="preserve">. </w:t>
      </w:r>
    </w:p>
    <w:p w:rsidR="000B11EC" w:rsidRPr="00806AE9" w:rsidRDefault="000B11EC" w:rsidP="00806AE9">
      <w:pPr>
        <w:pStyle w:val="Standard"/>
        <w:spacing w:before="120" w:line="276" w:lineRule="auto"/>
        <w:contextualSpacing/>
        <w:jc w:val="both"/>
        <w:rPr>
          <w:rFonts w:ascii="Verdana" w:hAnsi="Verdana"/>
          <w:sz w:val="20"/>
          <w:szCs w:val="20"/>
        </w:rPr>
      </w:pPr>
    </w:p>
    <w:p w:rsidR="000B11EC" w:rsidRPr="00806AE9" w:rsidRDefault="0079304D" w:rsidP="00806AE9">
      <w:pPr>
        <w:pStyle w:val="Standard"/>
        <w:spacing w:before="120" w:line="276" w:lineRule="auto"/>
        <w:contextualSpacing/>
        <w:jc w:val="both"/>
        <w:rPr>
          <w:rFonts w:ascii="Verdana" w:hAnsi="Verdana"/>
          <w:sz w:val="20"/>
          <w:szCs w:val="20"/>
        </w:rPr>
      </w:pPr>
      <w:r w:rsidRPr="00806AE9">
        <w:rPr>
          <w:rFonts w:ascii="Verdana" w:hAnsi="Verdana"/>
          <w:sz w:val="20"/>
          <w:szCs w:val="20"/>
        </w:rPr>
        <w:t xml:space="preserve">Biti tešč pomeni, da </w:t>
      </w:r>
      <w:r w:rsidRPr="00806AE9">
        <w:rPr>
          <w:rFonts w:ascii="Verdana" w:hAnsi="Verdana"/>
          <w:b/>
          <w:sz w:val="20"/>
          <w:szCs w:val="20"/>
        </w:rPr>
        <w:t>8 – 12 ur ne uživate hrane in pijete samo navadno vodo v zmernih količinah</w:t>
      </w:r>
      <w:r w:rsidRPr="00806AE9">
        <w:rPr>
          <w:rFonts w:ascii="Verdana" w:hAnsi="Verdana"/>
          <w:sz w:val="20"/>
          <w:szCs w:val="20"/>
        </w:rPr>
        <w:t xml:space="preserve">. </w:t>
      </w:r>
    </w:p>
    <w:p w:rsidR="000B11EC" w:rsidRPr="00806AE9" w:rsidRDefault="000B11EC" w:rsidP="00806AE9">
      <w:pPr>
        <w:pStyle w:val="Standard"/>
        <w:spacing w:before="120" w:line="276" w:lineRule="auto"/>
        <w:contextualSpacing/>
        <w:jc w:val="both"/>
        <w:rPr>
          <w:rFonts w:ascii="Verdana" w:hAnsi="Verdana"/>
          <w:sz w:val="20"/>
          <w:szCs w:val="20"/>
        </w:rPr>
      </w:pPr>
    </w:p>
    <w:p w:rsidR="000B11EC" w:rsidRPr="00806AE9" w:rsidRDefault="0079304D" w:rsidP="00806AE9">
      <w:pPr>
        <w:pStyle w:val="Standard"/>
        <w:numPr>
          <w:ilvl w:val="0"/>
          <w:numId w:val="1"/>
        </w:numPr>
        <w:spacing w:before="120" w:line="276" w:lineRule="auto"/>
        <w:contextualSpacing/>
        <w:jc w:val="both"/>
        <w:rPr>
          <w:rFonts w:ascii="Verdana" w:hAnsi="Verdana"/>
          <w:sz w:val="20"/>
          <w:szCs w:val="20"/>
        </w:rPr>
      </w:pPr>
      <w:r w:rsidRPr="00806AE9">
        <w:rPr>
          <w:rFonts w:ascii="Verdana" w:hAnsi="Verdana"/>
          <w:sz w:val="20"/>
          <w:szCs w:val="20"/>
        </w:rPr>
        <w:t xml:space="preserve">Za določitev sečne kisline oz. </w:t>
      </w:r>
      <w:proofErr w:type="spellStart"/>
      <w:r w:rsidRPr="00806AE9">
        <w:rPr>
          <w:rFonts w:ascii="Verdana" w:hAnsi="Verdana"/>
          <w:sz w:val="20"/>
          <w:szCs w:val="20"/>
        </w:rPr>
        <w:t>uratov</w:t>
      </w:r>
      <w:proofErr w:type="spellEnd"/>
      <w:r w:rsidRPr="00806AE9">
        <w:rPr>
          <w:rFonts w:ascii="Verdana" w:hAnsi="Verdana"/>
          <w:sz w:val="20"/>
          <w:szCs w:val="20"/>
        </w:rPr>
        <w:t xml:space="preserve"> tri dni pred odvzemom krvi ne smete uživati purinskih obrokov (drobovina, morske ribe in morski sadeži, meso in mesni izdelki, cvetača, brstični ohrovt, špinača, grah, leča itd.), alkohola in zdravil. </w:t>
      </w:r>
    </w:p>
    <w:p w:rsidR="000B11EC" w:rsidRPr="00806AE9" w:rsidRDefault="000B11EC" w:rsidP="00806AE9">
      <w:pPr>
        <w:pStyle w:val="Standard"/>
        <w:spacing w:before="120" w:line="276" w:lineRule="auto"/>
        <w:contextualSpacing/>
        <w:jc w:val="both"/>
        <w:rPr>
          <w:rFonts w:ascii="Verdana" w:hAnsi="Verdana"/>
          <w:sz w:val="20"/>
          <w:szCs w:val="20"/>
        </w:rPr>
      </w:pPr>
    </w:p>
    <w:p w:rsidR="000B11EC" w:rsidRPr="00806AE9" w:rsidRDefault="0079304D" w:rsidP="00806AE9">
      <w:pPr>
        <w:pStyle w:val="Standard"/>
        <w:numPr>
          <w:ilvl w:val="0"/>
          <w:numId w:val="1"/>
        </w:numPr>
        <w:spacing w:before="120" w:line="276" w:lineRule="auto"/>
        <w:contextualSpacing/>
        <w:jc w:val="both"/>
        <w:rPr>
          <w:rFonts w:ascii="Verdana" w:hAnsi="Verdana"/>
          <w:sz w:val="20"/>
          <w:szCs w:val="20"/>
        </w:rPr>
      </w:pPr>
      <w:r w:rsidRPr="00806AE9">
        <w:rPr>
          <w:rFonts w:ascii="Verdana" w:hAnsi="Verdana"/>
          <w:sz w:val="20"/>
          <w:szCs w:val="20"/>
        </w:rPr>
        <w:t>Za določitev lipidnega statusa (Preiskave: holesterol, trigliceridi, HDL-holesterol, LDL-holesterol) se priporoča normalna telesna aktivnost, 48h pred odvzemom ne smete uživati alkohola, 24h pred odvzemom ni priporočljivo uživati premastne hrane.</w:t>
      </w:r>
    </w:p>
    <w:p w:rsidR="000B11EC" w:rsidRPr="00806AE9" w:rsidRDefault="000B11EC" w:rsidP="00806AE9">
      <w:pPr>
        <w:pStyle w:val="Standard"/>
        <w:spacing w:before="120" w:line="276" w:lineRule="auto"/>
        <w:contextualSpacing/>
        <w:jc w:val="both"/>
        <w:rPr>
          <w:rFonts w:ascii="Verdana" w:hAnsi="Verdana"/>
          <w:b/>
          <w:sz w:val="20"/>
          <w:szCs w:val="20"/>
        </w:rPr>
      </w:pPr>
    </w:p>
    <w:p w:rsidR="000B11EC" w:rsidRPr="00806AE9" w:rsidRDefault="000B11EC" w:rsidP="00806AE9">
      <w:pPr>
        <w:pStyle w:val="Standard"/>
        <w:spacing w:before="120" w:line="276" w:lineRule="auto"/>
        <w:contextualSpacing/>
        <w:jc w:val="both"/>
        <w:rPr>
          <w:rFonts w:ascii="Verdana" w:hAnsi="Verdana"/>
          <w:b/>
          <w:sz w:val="20"/>
          <w:szCs w:val="20"/>
        </w:rPr>
      </w:pPr>
    </w:p>
    <w:p w:rsidR="000B11EC" w:rsidRPr="00806AE9" w:rsidRDefault="0079304D" w:rsidP="00806AE9">
      <w:pPr>
        <w:pStyle w:val="Standard"/>
        <w:spacing w:before="120" w:line="276" w:lineRule="auto"/>
        <w:contextualSpacing/>
        <w:jc w:val="both"/>
        <w:rPr>
          <w:rFonts w:ascii="Verdana" w:hAnsi="Verdana"/>
          <w:sz w:val="20"/>
          <w:szCs w:val="20"/>
        </w:rPr>
      </w:pPr>
      <w:r w:rsidRPr="00806AE9">
        <w:rPr>
          <w:rFonts w:ascii="Verdana" w:hAnsi="Verdana"/>
          <w:b/>
          <w:sz w:val="20"/>
          <w:szCs w:val="20"/>
        </w:rPr>
        <w:t>Dan pred odvzemom krvi bodite normalno telesno aktivni, brez večjih telesnih naporov</w:t>
      </w:r>
      <w:r w:rsidRPr="00806AE9">
        <w:rPr>
          <w:rFonts w:ascii="Verdana" w:hAnsi="Verdana"/>
          <w:sz w:val="20"/>
          <w:szCs w:val="20"/>
        </w:rPr>
        <w:t xml:space="preserve">. Neposredno pred odvzemom, </w:t>
      </w:r>
      <w:r w:rsidRPr="00806AE9">
        <w:rPr>
          <w:rFonts w:ascii="Verdana" w:hAnsi="Verdana"/>
          <w:b/>
          <w:sz w:val="20"/>
          <w:szCs w:val="20"/>
        </w:rPr>
        <w:t>v čakalnici počivajte 15 minut</w:t>
      </w:r>
      <w:r w:rsidRPr="00806AE9">
        <w:rPr>
          <w:rFonts w:ascii="Verdana" w:hAnsi="Verdana"/>
          <w:sz w:val="20"/>
          <w:szCs w:val="20"/>
        </w:rPr>
        <w:t xml:space="preserve">, da se psihično in fizično sprostite. Stres in aktivnost namreč povzročata spremembo koncentracije nekaterih </w:t>
      </w:r>
      <w:proofErr w:type="spellStart"/>
      <w:r w:rsidRPr="00806AE9">
        <w:rPr>
          <w:rFonts w:ascii="Verdana" w:hAnsi="Verdana"/>
          <w:sz w:val="20"/>
          <w:szCs w:val="20"/>
        </w:rPr>
        <w:t>analitov</w:t>
      </w:r>
      <w:proofErr w:type="spellEnd"/>
      <w:r w:rsidRPr="00806AE9">
        <w:rPr>
          <w:rFonts w:ascii="Verdana" w:hAnsi="Verdana"/>
          <w:sz w:val="20"/>
          <w:szCs w:val="20"/>
        </w:rPr>
        <w:t>, lahko tudi otežijo odvzem.</w:t>
      </w:r>
    </w:p>
    <w:p w:rsidR="000B11EC" w:rsidRPr="00806AE9" w:rsidRDefault="000B11EC" w:rsidP="00806AE9">
      <w:pPr>
        <w:spacing w:line="276" w:lineRule="auto"/>
        <w:contextualSpacing/>
        <w:rPr>
          <w:szCs w:val="20"/>
        </w:rPr>
      </w:pPr>
    </w:p>
    <w:p w:rsidR="000B11EC" w:rsidRPr="00806AE9" w:rsidRDefault="0079304D" w:rsidP="00806AE9">
      <w:pPr>
        <w:spacing w:line="276" w:lineRule="auto"/>
        <w:contextualSpacing/>
        <w:rPr>
          <w:szCs w:val="20"/>
        </w:rPr>
      </w:pPr>
      <w:r w:rsidRPr="00806AE9">
        <w:rPr>
          <w:szCs w:val="20"/>
        </w:rPr>
        <w:t>Ob upoštevanju zgoraj naštetih navodil bodo laboratorijski rezultati odraz vašega zdravstvenega stanja.</w:t>
      </w:r>
    </w:p>
    <w:p w:rsidR="000B11EC" w:rsidRPr="00806AE9" w:rsidRDefault="000B11EC" w:rsidP="00806AE9">
      <w:pPr>
        <w:spacing w:line="276" w:lineRule="auto"/>
        <w:contextualSpacing/>
        <w:rPr>
          <w:rFonts w:cs="Tahoma"/>
          <w:kern w:val="2"/>
          <w:szCs w:val="20"/>
        </w:rPr>
      </w:pPr>
    </w:p>
    <w:p w:rsidR="000B11EC" w:rsidRPr="00806AE9" w:rsidRDefault="0079304D" w:rsidP="00806AE9">
      <w:pPr>
        <w:spacing w:line="276" w:lineRule="auto"/>
        <w:contextualSpacing/>
        <w:rPr>
          <w:b/>
          <w:szCs w:val="20"/>
        </w:rPr>
      </w:pPr>
      <w:r w:rsidRPr="00806AE9">
        <w:rPr>
          <w:b/>
          <w:szCs w:val="20"/>
        </w:rPr>
        <w:t xml:space="preserve">Prosimo vas, da posebej opozorite laboratorijskega delavca, če vam je ob odvzemu krvi rado slabo in če ste na </w:t>
      </w:r>
      <w:proofErr w:type="spellStart"/>
      <w:r w:rsidRPr="00806AE9">
        <w:rPr>
          <w:b/>
          <w:szCs w:val="20"/>
        </w:rPr>
        <w:t>antikoagulantni</w:t>
      </w:r>
      <w:proofErr w:type="spellEnd"/>
      <w:r w:rsidRPr="00806AE9">
        <w:rPr>
          <w:b/>
          <w:szCs w:val="20"/>
        </w:rPr>
        <w:t xml:space="preserve"> terapiji (zdr</w:t>
      </w:r>
      <w:r w:rsidR="00B4742D" w:rsidRPr="00806AE9">
        <w:rPr>
          <w:b/>
          <w:szCs w:val="20"/>
        </w:rPr>
        <w:t>a</w:t>
      </w:r>
      <w:r w:rsidRPr="00806AE9">
        <w:rPr>
          <w:b/>
          <w:szCs w:val="20"/>
        </w:rPr>
        <w:t>vila proti strjevanju krvi) ali jemljete aspirin.</w:t>
      </w:r>
    </w:p>
    <w:p w:rsidR="000B11EC" w:rsidRPr="00806AE9" w:rsidRDefault="000B11EC" w:rsidP="00806AE9">
      <w:pPr>
        <w:spacing w:line="276" w:lineRule="auto"/>
        <w:contextualSpacing/>
        <w:rPr>
          <w:b/>
          <w:szCs w:val="20"/>
        </w:rPr>
      </w:pPr>
    </w:p>
    <w:p w:rsidR="00B4742D" w:rsidRPr="00806AE9" w:rsidRDefault="00B4742D" w:rsidP="00806AE9">
      <w:pPr>
        <w:spacing w:line="276" w:lineRule="auto"/>
        <w:contextualSpacing/>
        <w:rPr>
          <w:szCs w:val="20"/>
        </w:rPr>
      </w:pPr>
    </w:p>
    <w:p w:rsidR="000B11EC" w:rsidRPr="00806AE9" w:rsidRDefault="0079304D" w:rsidP="00806AE9">
      <w:pPr>
        <w:spacing w:line="276" w:lineRule="auto"/>
        <w:contextualSpacing/>
        <w:rPr>
          <w:b/>
          <w:szCs w:val="20"/>
        </w:rPr>
      </w:pPr>
      <w:r w:rsidRPr="00806AE9">
        <w:rPr>
          <w:szCs w:val="20"/>
        </w:rPr>
        <w:t>POMEMBNO:</w:t>
      </w:r>
      <w:r w:rsidRPr="00806AE9">
        <w:rPr>
          <w:b/>
          <w:szCs w:val="20"/>
        </w:rPr>
        <w:t xml:space="preserve"> </w:t>
      </w:r>
      <w:r w:rsidRPr="00806AE9">
        <w:rPr>
          <w:szCs w:val="20"/>
        </w:rPr>
        <w:t xml:space="preserve">Med odvzemom krvi </w:t>
      </w:r>
      <w:r w:rsidRPr="00806AE9">
        <w:rPr>
          <w:b/>
          <w:szCs w:val="20"/>
        </w:rPr>
        <w:t>ne smete stiskati in popuščati pesti</w:t>
      </w:r>
      <w:r w:rsidRPr="00806AE9">
        <w:rPr>
          <w:szCs w:val="20"/>
        </w:rPr>
        <w:t xml:space="preserve">. Po odvzemu </w:t>
      </w:r>
      <w:r w:rsidRPr="00806AE9">
        <w:rPr>
          <w:b/>
          <w:szCs w:val="20"/>
        </w:rPr>
        <w:t>pritiskajte tampon na mesto vboda še vsaj 5-10 minut</w:t>
      </w:r>
      <w:r w:rsidRPr="00806AE9">
        <w:rPr>
          <w:szCs w:val="20"/>
        </w:rPr>
        <w:t xml:space="preserve"> (v čakalnici), da se krvavitev popolnoma ustavi. S tem preprečite krvavitev v podkožje in nastanek hematoma (modrice) na mestu vboda.</w:t>
      </w:r>
      <w:r w:rsidRPr="00806AE9">
        <w:rPr>
          <w:b/>
          <w:szCs w:val="20"/>
        </w:rPr>
        <w:t xml:space="preserve"> </w:t>
      </w:r>
      <w:r w:rsidRPr="00806AE9">
        <w:rPr>
          <w:szCs w:val="20"/>
        </w:rPr>
        <w:t>Če se vam krvavitev iz vbodnega mesta ne ustavi, o zapletu obvestite osebo, ki vam je odvzela kri.</w:t>
      </w:r>
    </w:p>
    <w:p w:rsidR="000B11EC" w:rsidRPr="00806AE9" w:rsidRDefault="000B11EC" w:rsidP="00806AE9">
      <w:pPr>
        <w:spacing w:line="276" w:lineRule="auto"/>
        <w:contextualSpacing/>
        <w:rPr>
          <w:szCs w:val="20"/>
        </w:rPr>
      </w:pPr>
    </w:p>
    <w:p w:rsidR="000B11EC" w:rsidRPr="00806AE9" w:rsidRDefault="000B11EC" w:rsidP="00806AE9">
      <w:pPr>
        <w:spacing w:after="0" w:line="276" w:lineRule="auto"/>
        <w:rPr>
          <w:szCs w:val="20"/>
        </w:rPr>
      </w:pPr>
    </w:p>
    <w:p w:rsidR="00B4742D" w:rsidRPr="00806AE9" w:rsidRDefault="00B4742D" w:rsidP="00806AE9">
      <w:pPr>
        <w:spacing w:after="0" w:line="276" w:lineRule="auto"/>
        <w:rPr>
          <w:szCs w:val="20"/>
        </w:rPr>
      </w:pPr>
    </w:p>
    <w:p w:rsidR="000B11EC" w:rsidRPr="00806AE9" w:rsidRDefault="0079304D" w:rsidP="00806AE9">
      <w:pPr>
        <w:spacing w:after="0" w:line="276" w:lineRule="auto"/>
        <w:rPr>
          <w:szCs w:val="20"/>
        </w:rPr>
      </w:pPr>
      <w:r w:rsidRPr="00806AE9">
        <w:rPr>
          <w:szCs w:val="20"/>
        </w:rPr>
        <w:t>Enota za laboratorijsko diagnostiko.</w:t>
      </w:r>
      <w:bookmarkStart w:id="0" w:name="_GoBack"/>
      <w:bookmarkEnd w:id="0"/>
    </w:p>
    <w:p w:rsidR="000B11EC" w:rsidRPr="00806AE9" w:rsidRDefault="000B11EC" w:rsidP="00806AE9">
      <w:pPr>
        <w:spacing w:after="0" w:line="276" w:lineRule="auto"/>
        <w:rPr>
          <w:szCs w:val="20"/>
        </w:rPr>
      </w:pPr>
    </w:p>
    <w:p w:rsidR="000B11EC" w:rsidRDefault="000B11EC">
      <w:pPr>
        <w:spacing w:after="0"/>
        <w:rPr>
          <w:sz w:val="22"/>
        </w:rPr>
      </w:pPr>
    </w:p>
    <w:sectPr w:rsidR="000B11EC">
      <w:footerReference w:type="default" r:id="rId8"/>
      <w:pgSz w:w="11906" w:h="16838"/>
      <w:pgMar w:top="1417" w:right="1417" w:bottom="1417" w:left="1417" w:header="0" w:footer="708"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68A" w:rsidRDefault="0079304D">
      <w:pPr>
        <w:spacing w:after="0"/>
      </w:pPr>
      <w:r>
        <w:separator/>
      </w:r>
    </w:p>
  </w:endnote>
  <w:endnote w:type="continuationSeparator" w:id="0">
    <w:p w:rsidR="00AB368A" w:rsidRDefault="007930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4D" w:rsidRPr="001E7FAA" w:rsidRDefault="0079304D">
    <w:pPr>
      <w:pStyle w:val="Noga"/>
      <w:rPr>
        <w:sz w:val="16"/>
        <w:szCs w:val="16"/>
      </w:rPr>
    </w:pPr>
    <w:r w:rsidRPr="001E7FAA">
      <w:rPr>
        <w:sz w:val="16"/>
        <w:szCs w:val="16"/>
      </w:rPr>
      <w:t xml:space="preserve">Pripravil: </w:t>
    </w:r>
    <w:r w:rsidR="00806AE9">
      <w:rPr>
        <w:sz w:val="16"/>
        <w:szCs w:val="16"/>
      </w:rPr>
      <w:t xml:space="preserve">Jure Belak, </w:t>
    </w:r>
    <w:proofErr w:type="spellStart"/>
    <w:r w:rsidR="00806AE9">
      <w:rPr>
        <w:sz w:val="16"/>
        <w:szCs w:val="16"/>
      </w:rPr>
      <w:t>dip</w:t>
    </w:r>
    <w:proofErr w:type="spellEnd"/>
    <w:r w:rsidR="00806AE9">
      <w:rPr>
        <w:sz w:val="16"/>
        <w:szCs w:val="16"/>
      </w:rPr>
      <w:t>. inž. lab. biomed.</w:t>
    </w:r>
    <w:r w:rsidR="00806AE9">
      <w:rPr>
        <w:sz w:val="16"/>
        <w:szCs w:val="16"/>
      </w:rPr>
      <w:tab/>
    </w:r>
    <w:r w:rsidR="00806AE9">
      <w:rPr>
        <w:sz w:val="16"/>
        <w:szCs w:val="16"/>
      </w:rPr>
      <w:tab/>
      <w:t>Verzija 3.0</w:t>
    </w:r>
  </w:p>
  <w:p w:rsidR="0079304D" w:rsidRPr="001E7FAA" w:rsidRDefault="0079304D" w:rsidP="0079304D">
    <w:pPr>
      <w:pStyle w:val="Noga"/>
      <w:rPr>
        <w:sz w:val="16"/>
        <w:szCs w:val="16"/>
      </w:rPr>
    </w:pPr>
    <w:r w:rsidRPr="001E7FAA">
      <w:rPr>
        <w:sz w:val="16"/>
        <w:szCs w:val="16"/>
      </w:rPr>
      <w:t xml:space="preserve">OB </w:t>
    </w:r>
    <w:r w:rsidR="004474A8">
      <w:rPr>
        <w:sz w:val="16"/>
        <w:szCs w:val="16"/>
      </w:rPr>
      <w:t>ELDON023 08</w:t>
    </w:r>
    <w:r w:rsidR="00806AE9">
      <w:rPr>
        <w:sz w:val="16"/>
        <w:szCs w:val="16"/>
      </w:rPr>
      <w:tab/>
    </w:r>
    <w:r w:rsidR="00806AE9">
      <w:rPr>
        <w:sz w:val="16"/>
        <w:szCs w:val="16"/>
      </w:rPr>
      <w:tab/>
      <w:t>Velja od: 1.3.2026</w:t>
    </w:r>
  </w:p>
  <w:p w:rsidR="000B11EC" w:rsidRPr="001E7FAA" w:rsidRDefault="0079304D">
    <w:pPr>
      <w:pStyle w:val="Noga"/>
      <w:rPr>
        <w:sz w:val="16"/>
        <w:szCs w:val="16"/>
      </w:rPr>
    </w:pPr>
    <w:r w:rsidRPr="001E7FAA">
      <w:rPr>
        <w:sz w:val="16"/>
        <w:szCs w:val="16"/>
      </w:rPr>
      <w:tab/>
    </w:r>
    <w:r w:rsidRPr="001E7FAA">
      <w:rPr>
        <w:sz w:val="16"/>
        <w:szCs w:val="16"/>
      </w:rPr>
      <w:tab/>
      <w:t>EKN 60111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68A" w:rsidRDefault="0079304D">
      <w:pPr>
        <w:spacing w:after="0"/>
      </w:pPr>
      <w:r>
        <w:separator/>
      </w:r>
    </w:p>
  </w:footnote>
  <w:footnote w:type="continuationSeparator" w:id="0">
    <w:p w:rsidR="00AB368A" w:rsidRDefault="0079304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37695"/>
    <w:multiLevelType w:val="multilevel"/>
    <w:tmpl w:val="F6B2C5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83279DB"/>
    <w:multiLevelType w:val="multilevel"/>
    <w:tmpl w:val="2B0CD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EC"/>
    <w:rsid w:val="000B11EC"/>
    <w:rsid w:val="001E7FAA"/>
    <w:rsid w:val="004474A8"/>
    <w:rsid w:val="0079304D"/>
    <w:rsid w:val="00806AE9"/>
    <w:rsid w:val="00AB368A"/>
    <w:rsid w:val="00B4742D"/>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E6392-3A71-4E44-9483-040097A1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sl-SI"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C2D5E"/>
    <w:pPr>
      <w:spacing w:after="200"/>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980AA6"/>
  </w:style>
  <w:style w:type="character" w:customStyle="1" w:styleId="NogaZnak">
    <w:name w:val="Noga Znak"/>
    <w:basedOn w:val="Privzetapisavaodstavka"/>
    <w:link w:val="Noga"/>
    <w:uiPriority w:val="99"/>
    <w:qFormat/>
    <w:rsid w:val="00980AA6"/>
  </w:style>
  <w:style w:type="character" w:customStyle="1" w:styleId="BesedilooblakaZnak">
    <w:name w:val="Besedilo oblačka Znak"/>
    <w:basedOn w:val="Privzetapisavaodstavka"/>
    <w:link w:val="Besedilooblaka"/>
    <w:uiPriority w:val="99"/>
    <w:semiHidden/>
    <w:qFormat/>
    <w:rsid w:val="00980AA6"/>
    <w:rPr>
      <w:rFonts w:ascii="Tahoma" w:hAnsi="Tahoma" w:cs="Tahoma"/>
      <w:sz w:val="16"/>
      <w:szCs w:val="16"/>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980AA6"/>
    <w:pPr>
      <w:tabs>
        <w:tab w:val="center" w:pos="4536"/>
        <w:tab w:val="right" w:pos="9072"/>
      </w:tabs>
      <w:spacing w:after="0"/>
    </w:pPr>
  </w:style>
  <w:style w:type="paragraph" w:styleId="Noga">
    <w:name w:val="footer"/>
    <w:basedOn w:val="Navaden"/>
    <w:link w:val="NogaZnak"/>
    <w:uiPriority w:val="99"/>
    <w:unhideWhenUsed/>
    <w:rsid w:val="00980AA6"/>
    <w:pPr>
      <w:tabs>
        <w:tab w:val="center" w:pos="4536"/>
        <w:tab w:val="right" w:pos="9072"/>
      </w:tabs>
      <w:spacing w:after="0"/>
    </w:pPr>
  </w:style>
  <w:style w:type="paragraph" w:styleId="Besedilooblaka">
    <w:name w:val="Balloon Text"/>
    <w:basedOn w:val="Navaden"/>
    <w:link w:val="BesedilooblakaZnak"/>
    <w:uiPriority w:val="99"/>
    <w:semiHidden/>
    <w:unhideWhenUsed/>
    <w:qFormat/>
    <w:rsid w:val="00980AA6"/>
    <w:pPr>
      <w:spacing w:after="0"/>
    </w:pPr>
    <w:rPr>
      <w:rFonts w:ascii="Tahoma" w:hAnsi="Tahoma" w:cs="Tahoma"/>
      <w:sz w:val="16"/>
      <w:szCs w:val="16"/>
    </w:rPr>
  </w:style>
  <w:style w:type="paragraph" w:styleId="Odstavekseznama">
    <w:name w:val="List Paragraph"/>
    <w:basedOn w:val="Navaden"/>
    <w:uiPriority w:val="34"/>
    <w:qFormat/>
    <w:rsid w:val="008438C4"/>
    <w:pPr>
      <w:ind w:left="720"/>
      <w:contextualSpacing/>
    </w:pPr>
  </w:style>
  <w:style w:type="paragraph" w:customStyle="1" w:styleId="Standard">
    <w:name w:val="Standard"/>
    <w:qFormat/>
    <w:rsid w:val="00A538EE"/>
    <w:pPr>
      <w:widowControl w:val="0"/>
      <w:textAlignment w:val="baseline"/>
    </w:pPr>
    <w:rPr>
      <w:rFonts w:ascii="Times New Roman" w:eastAsia="Times New Roman" w:hAnsi="Times New Roman" w:cs="Tahoma"/>
      <w:kern w:val="2"/>
      <w:sz w:val="24"/>
      <w:szCs w:val="24"/>
      <w:lang w:eastAsia="sl-SI"/>
    </w:rPr>
  </w:style>
  <w:style w:type="table" w:styleId="Tabelamrea">
    <w:name w:val="Table Grid"/>
    <w:basedOn w:val="Navadnatabela"/>
    <w:uiPriority w:val="59"/>
    <w:rsid w:val="00670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dc:creator>
  <dc:description/>
  <cp:lastModifiedBy>Jure Belak</cp:lastModifiedBy>
  <cp:revision>9</cp:revision>
  <cp:lastPrinted>2016-04-05T09:10:00Z</cp:lastPrinted>
  <dcterms:created xsi:type="dcterms:W3CDTF">2020-09-04T11:59:00Z</dcterms:created>
  <dcterms:modified xsi:type="dcterms:W3CDTF">2026-03-03T11:18:00Z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